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CA0F59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811AE4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</w:t>
          </w:r>
          <w:proofErr w:type="gramStart"/>
          <w:r w:rsidR="00987888" w:rsidRPr="00AF1246">
            <w:rPr>
              <w:sz w:val="23"/>
              <w:szCs w:val="23"/>
            </w:rPr>
            <w:t>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-591091077"/>
              <w:placeholder>
                <w:docPart w:val="B9422BD0546C4D12A5FC65CD60F0CA4D"/>
              </w:placeholder>
            </w:sdtPr>
            <w:sdtEndPr/>
            <w:sdtContent>
              <w:r w:rsidR="005C786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выполнению работ </w:t>
              </w:r>
              <w:r w:rsidR="005C786C" w:rsidRPr="003573C5">
                <w:rPr>
                  <w:rFonts w:ascii="Times New Roman" w:hAnsi="Times New Roman"/>
                  <w:b/>
                  <w:sz w:val="23"/>
                  <w:szCs w:val="23"/>
                </w:rPr>
                <w:t>по</w:t>
              </w:r>
              <w:r w:rsidR="005C786C" w:rsidRPr="003573C5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ремонту теплоизоляции </w:t>
              </w:r>
              <w:r w:rsidR="005C786C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установки Битумная цеха №1</w:t>
              </w:r>
              <w:r w:rsidR="005C786C" w:rsidRPr="003573C5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в 2018 году</w:t>
              </w:r>
              <w:r w:rsidR="005C786C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</w:sdtContent>
          </w:sdt>
        </w:sdtContent>
      </w:sdt>
      <w:bookmarkEnd w:id="0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5C786C" w:rsidP="0077495C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1.2 </w:t>
          </w:r>
          <w:r>
            <w:rPr>
              <w:rFonts w:ascii="Times New Roman" w:hAnsi="Times New Roman"/>
              <w:sz w:val="23"/>
              <w:szCs w:val="23"/>
            </w:rPr>
            <w:tab/>
          </w:r>
          <w:r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</w:t>
          </w:r>
          <w:r>
            <w:rPr>
              <w:rFonts w:ascii="Times New Roman" w:hAnsi="Times New Roman"/>
              <w:sz w:val="23"/>
              <w:szCs w:val="23"/>
            </w:rPr>
            <w:t>ой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ведомост</w:t>
          </w:r>
          <w:r>
            <w:rPr>
              <w:rFonts w:ascii="Times New Roman" w:hAnsi="Times New Roman"/>
              <w:sz w:val="23"/>
              <w:szCs w:val="23"/>
            </w:rPr>
            <w:t>и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и смет</w:t>
          </w:r>
          <w:r>
            <w:rPr>
              <w:rFonts w:ascii="Times New Roman" w:hAnsi="Times New Roman"/>
              <w:sz w:val="23"/>
              <w:szCs w:val="23"/>
            </w:rPr>
            <w:t>е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0CFF13ED3BA14D16B0CC43A1822E75B7"/>
              </w:placeholder>
            </w:sdtPr>
            <w:sdtEndPr/>
            <w:sdtContent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>смет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№ ________________, составленн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77495C" w:rsidRPr="004E2F72">
                <w:rPr>
                  <w:rFonts w:ascii="Times New Roman" w:hAnsi="Times New Roman"/>
                  <w:sz w:val="23"/>
                  <w:szCs w:val="23"/>
                </w:rPr>
                <w:t xml:space="preserve"> в соответствии</w:t>
              </w:r>
              <w:r w:rsidR="0077495C">
                <w:rPr>
                  <w:rFonts w:ascii="Times New Roman" w:hAnsi="Times New Roman"/>
                  <w:sz w:val="23"/>
                  <w:szCs w:val="23"/>
                </w:rPr>
                <w:t xml:space="preserve"> с 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>утвержденн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ой</w:t>
              </w:r>
              <w:r w:rsidR="006A0EBD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дефектн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 xml:space="preserve">ой </w:t>
              </w:r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>ведомост</w:t>
              </w:r>
              <w:r w:rsidR="005C786C">
                <w:rPr>
                  <w:rFonts w:ascii="Times New Roman" w:hAnsi="Times New Roman"/>
                  <w:sz w:val="23"/>
                  <w:szCs w:val="23"/>
                </w:rPr>
                <w:t>ью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4E2F72" w:rsidRDefault="00811AE4" w:rsidP="0077495C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sdt>
            <w:sdtPr>
              <w:rPr>
                <w:rFonts w:ascii="Times New Roman" w:hAnsi="Times New Roman"/>
                <w:sz w:val="23"/>
                <w:szCs w:val="23"/>
              </w:rPr>
              <w:id w:val="-92009800"/>
              <w:placeholder>
                <w:docPart w:val="6B7474164F9246A7B7B41AED5B815924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>начало</w:t>
              </w:r>
              <w:proofErr w:type="gramEnd"/>
              <w:r w:rsidR="0077495C"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работ – </w:t>
              </w:r>
              <w:r w:rsidR="0077495C">
                <w:rPr>
                  <w:rFonts w:ascii="Times New Roman" w:hAnsi="Times New Roman"/>
                  <w:b/>
                  <w:sz w:val="23"/>
                  <w:szCs w:val="23"/>
                </w:rPr>
                <w:t>с даты подписания</w:t>
              </w:r>
              <w:r w:rsidR="00ED7004">
                <w:rPr>
                  <w:rFonts w:ascii="Times New Roman" w:hAnsi="Times New Roman"/>
                  <w:b/>
                  <w:sz w:val="23"/>
                  <w:szCs w:val="23"/>
                </w:rPr>
                <w:t xml:space="preserve"> договора</w:t>
              </w:r>
              <w:r w:rsidR="0077495C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, окончание работ – </w:t>
              </w:r>
              <w:r w:rsidR="00952B92">
                <w:rPr>
                  <w:rFonts w:ascii="Times New Roman" w:hAnsi="Times New Roman"/>
                  <w:b/>
                  <w:sz w:val="23"/>
                  <w:szCs w:val="23"/>
                </w:rPr>
                <w:t>31.0</w:t>
              </w:r>
              <w:r w:rsidR="00DC4497">
                <w:rPr>
                  <w:rFonts w:ascii="Times New Roman" w:hAnsi="Times New Roman"/>
                  <w:b/>
                  <w:sz w:val="23"/>
                  <w:szCs w:val="23"/>
                </w:rPr>
                <w:t>3</w:t>
              </w:r>
              <w:r w:rsidR="00952B92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5C786C">
                <w:rPr>
                  <w:rFonts w:ascii="Times New Roman" w:hAnsi="Times New Roman"/>
                  <w:b/>
                  <w:sz w:val="23"/>
                  <w:szCs w:val="23"/>
                </w:rPr>
                <w:t>2018 года</w:t>
              </w:r>
              <w:r w:rsidR="00ED7004" w:rsidRPr="00ED7004">
                <w:rPr>
                  <w:rFonts w:ascii="Times New Roman" w:hAnsi="Times New Roman"/>
                  <w:b/>
                  <w:sz w:val="23"/>
                  <w:szCs w:val="23"/>
                </w:rPr>
                <w:t>.</w:t>
              </w:r>
              <w:r w:rsidR="00F0702B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F0702B">
                <w:rPr>
                  <w:rFonts w:ascii="Times New Roman" w:hAnsi="Times New Roman"/>
                  <w:sz w:val="23"/>
                  <w:szCs w:val="23"/>
                </w:rPr>
                <w:t xml:space="preserve">Работы выполняются </w:t>
              </w:r>
              <w:r w:rsidR="00F0702B" w:rsidRPr="004E2F72">
                <w:rPr>
                  <w:rFonts w:ascii="Times New Roman" w:hAnsi="Times New Roman"/>
                  <w:sz w:val="23"/>
                  <w:szCs w:val="23"/>
                </w:rPr>
                <w:t>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</w:r>
              <w:r w:rsidR="00F0702B">
                <w:rPr>
                  <w:rFonts w:ascii="Times New Roman" w:hAnsi="Times New Roman"/>
                  <w:sz w:val="23"/>
                  <w:szCs w:val="23"/>
                </w:rPr>
                <w:t>).</w:t>
              </w:r>
            </w:sdtContent>
          </w:sdt>
          <w:r w:rsidR="0077495C"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811AE4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3D1545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3D1545">
            <w:rPr>
              <w:sz w:val="23"/>
              <w:szCs w:val="23"/>
            </w:rPr>
          </w:r>
          <w:r w:rsidR="003D1545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3D1545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D1545">
        <w:rPr>
          <w:rFonts w:ascii="Times New Roman" w:hAnsi="Times New Roman"/>
          <w:color w:val="000000"/>
          <w:sz w:val="23"/>
          <w:szCs w:val="23"/>
        </w:rPr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D1545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p w:rsidR="00952B92" w:rsidRPr="009F7729" w:rsidRDefault="00952B92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811AE4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52B92" w:rsidP="0077495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52B92" w:rsidRDefault="00952B92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9F7729" w:rsidRDefault="00811AE4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proofErr w:type="gramStart"/>
          <w:r w:rsidR="00CE7615">
            <w:rPr>
              <w:rFonts w:ascii="Times New Roman" w:hAnsi="Times New Roman"/>
              <w:sz w:val="23"/>
              <w:szCs w:val="23"/>
            </w:rPr>
            <w:t>3</w:t>
          </w:r>
          <w:r w:rsidR="00BD3000">
            <w:rPr>
              <w:rFonts w:ascii="Times New Roman" w:hAnsi="Times New Roman"/>
              <w:sz w:val="23"/>
              <w:szCs w:val="23"/>
            </w:rPr>
            <w:t>0</w:t>
          </w:r>
          <w:r w:rsidR="00CA0F59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 xml:space="preserve"> от стоимости работ по настоящему Договору, указанной в п. </w:t>
          </w:r>
          <w:r w:rsidR="00D9021A">
            <w:fldChar w:fldCharType="begin"/>
          </w:r>
          <w:r w:rsidR="00D9021A">
            <w:instrText xml:space="preserve"> REF _Ref438644310 \r \h  \* MERGEFORMAT </w:instrText>
          </w:r>
          <w:r w:rsidR="00D9021A">
            <w:fldChar w:fldCharType="separate"/>
          </w:r>
          <w:r w:rsidR="00E62427">
            <w:rPr>
              <w:rFonts w:ascii="Times New Roman" w:hAnsi="Times New Roman"/>
              <w:sz w:val="23"/>
              <w:szCs w:val="23"/>
            </w:rPr>
            <w:t>3.1</w:t>
          </w:r>
          <w:r w:rsidR="00D9021A"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02623C" w:rsidRPr="00003E48">
            <w:rPr>
              <w:color w:val="000000"/>
              <w:sz w:val="23"/>
              <w:szCs w:val="23"/>
            </w:rPr>
            <w:t>СП 71.13330.2017</w:t>
          </w:r>
          <w:r w:rsidR="0077495C" w:rsidRPr="00FE14C2">
            <w:rPr>
              <w:sz w:val="24"/>
            </w:rPr>
            <w:t>, ГОСТ 17314-81, ГЭСН 81-02-26-20</w:t>
          </w:r>
          <w:r w:rsidR="0002623C">
            <w:rPr>
              <w:sz w:val="24"/>
            </w:rPr>
            <w:t>17</w:t>
          </w:r>
          <w:r w:rsidR="00BB4FB0" w:rsidRPr="00791DD5">
            <w:rPr>
              <w:sz w:val="24"/>
              <w:szCs w:val="24"/>
            </w:rPr>
            <w:t>, Правила по охране труда в строительстве,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10</w:t>
          </w:r>
          <w:proofErr w:type="gramStart"/>
          <w:r w:rsidR="00FD7FBB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>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D9021A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_Ref438644580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D9021A">
        <w:fldChar w:fldCharType="begin"/>
      </w:r>
      <w:r w:rsidR="00D9021A">
        <w:instrText xml:space="preserve"> REF _Ref438644440 \r \h  \* MERGEFORMAT </w:instrText>
      </w:r>
      <w:r w:rsidR="00D9021A">
        <w:fldChar w:fldCharType="separate"/>
      </w:r>
      <w:r w:rsidR="00E62427">
        <w:t>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A0F59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A0F59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</w:t>
          </w:r>
          <w:proofErr w:type="gramEnd"/>
          <w:r w:rsidRPr="00AF1246">
            <w:rPr>
              <w:rFonts w:ascii="Times New Roman" w:hAnsi="Times New Roman"/>
              <w:sz w:val="23"/>
              <w:szCs w:val="23"/>
            </w:rPr>
            <w:t>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D9021A">
        <w:fldChar w:fldCharType="begin"/>
      </w:r>
      <w:r w:rsidR="00D9021A">
        <w:instrText xml:space="preserve"> REF _Ref438644830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D9021A">
        <w:fldChar w:fldCharType="begin"/>
      </w:r>
      <w:r w:rsidR="00D9021A">
        <w:instrText xml:space="preserve"> REF _Ref438644310 \r \h  \* MERGEFORMAT </w:instrText>
      </w:r>
      <w:r w:rsidR="00D9021A">
        <w:fldChar w:fldCharType="separate"/>
      </w:r>
      <w:r w:rsidR="00E62427">
        <w:rPr>
          <w:sz w:val="23"/>
          <w:szCs w:val="23"/>
        </w:rPr>
        <w:t>3.1</w:t>
      </w:r>
      <w:r w:rsidR="00D9021A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D1545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D1545">
        <w:rPr>
          <w:sz w:val="23"/>
          <w:szCs w:val="23"/>
        </w:rPr>
      </w:r>
      <w:r w:rsidR="003D1545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D1545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proofErr w:type="gramStart"/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D7FBB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D9021A">
        <w:fldChar w:fldCharType="begin"/>
      </w:r>
      <w:r w:rsidR="00D9021A">
        <w:instrText xml:space="preserve"> REF _Ref438644737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D9021A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D9021A">
        <w:fldChar w:fldCharType="begin"/>
      </w:r>
      <w:r w:rsidR="00D9021A">
        <w:instrText xml:space="preserve"> REF _Ref438645112 \r \h  \* MERGEFORMAT </w:instrText>
      </w:r>
      <w:r w:rsidR="00D9021A">
        <w:fldChar w:fldCharType="separate"/>
      </w:r>
      <w:r w:rsidR="00E62427">
        <w:rPr>
          <w:sz w:val="23"/>
          <w:szCs w:val="23"/>
        </w:rPr>
        <w:t>6.2</w:t>
      </w:r>
      <w:r w:rsidR="00D9021A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D9021A">
        <w:fldChar w:fldCharType="begin"/>
      </w:r>
      <w:r w:rsidR="00D9021A">
        <w:instrText xml:space="preserve"> REF _Ref438644568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D9021A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_Ref438645222 \r \h  \* MERGEFORMAT </w:instrText>
      </w:r>
      <w:r w:rsidR="00D9021A"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D9021A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D9021A">
        <w:fldChar w:fldCharType="begin"/>
      </w:r>
      <w:r w:rsidR="00D9021A">
        <w:instrText xml:space="preserve"> REF _Ref438645391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D9021A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D9021A">
        <w:fldChar w:fldCharType="begin"/>
      </w:r>
      <w:r w:rsidR="00D9021A">
        <w:instrText xml:space="preserve"> REF _Ref438645393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D9021A">
        <w:fldChar w:fldCharType="begin"/>
      </w:r>
      <w:r w:rsidR="00D9021A">
        <w:instrText xml:space="preserve"> REF _Ref438645487 \r \h  \* MERGEFORMAT </w:instrText>
      </w:r>
      <w:r w:rsidR="00D9021A"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D9021A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9319E">
            <w:rPr>
              <w:sz w:val="23"/>
              <w:szCs w:val="23"/>
            </w:rPr>
            <w:t>31</w:t>
          </w:r>
          <w:r w:rsidR="00A60B26">
            <w:rPr>
              <w:sz w:val="23"/>
              <w:szCs w:val="23"/>
            </w:rPr>
            <w:t>.</w:t>
          </w:r>
          <w:r w:rsidR="005C786C">
            <w:rPr>
              <w:sz w:val="23"/>
              <w:szCs w:val="23"/>
            </w:rPr>
            <w:t>0</w:t>
          </w:r>
          <w:bookmarkStart w:id="15" w:name="_GoBack"/>
          <w:bookmarkEnd w:id="15"/>
          <w:r w:rsidR="00952B92">
            <w:rPr>
              <w:sz w:val="23"/>
              <w:szCs w:val="23"/>
            </w:rPr>
            <w:t>5</w:t>
          </w:r>
          <w:r w:rsidR="00CA0F59">
            <w:rPr>
              <w:sz w:val="23"/>
              <w:szCs w:val="23"/>
            </w:rPr>
            <w:t>.2018</w:t>
          </w:r>
          <w:proofErr w:type="gramEnd"/>
          <w:r w:rsidR="00CA0F59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ые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ведомост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>_ .</w:t>
          </w:r>
          <w:proofErr w:type="gramEnd"/>
        </w:p>
        <w:p w:rsidR="001B5158" w:rsidRPr="00AF1246" w:rsidRDefault="005C786C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E9319E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480295314"/>
                  <w:placeholder>
                    <w:docPart w:val="1C4DF36CFF724D719FE63637C870A185"/>
                  </w:placeholder>
                </w:sdtPr>
                <w:sdtEndPr/>
                <w:sdtContent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Р/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40702810616250002974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Филиал Банка ВТБ (ПАО) в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г. Воронеже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К/</w:t>
                    </w:r>
                    <w:proofErr w:type="spellStart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сч</w:t>
                    </w:r>
                    <w:proofErr w:type="spellEnd"/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30101810100000000835</w:t>
                    </w:r>
                  </w:p>
                  <w:p w:rsidR="00CA0F59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БИК 042007835</w:t>
                    </w:r>
                  </w:p>
                  <w:p w:rsidR="00CA0F59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ОКПО 49747905, ИНН 7702070139</w:t>
                    </w:r>
                  </w:p>
                  <w:p w:rsidR="001B5158" w:rsidRPr="00AF1246" w:rsidRDefault="00CA0F59" w:rsidP="00CA0F59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>КПП 366643001, ОГРН 1027739609391</w:t>
                    </w:r>
                  </w:p>
                </w:sdtContent>
              </w:sdt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85F59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lastRenderedPageBreak/>
              <w:t>___________________</w:t>
            </w:r>
            <w:proofErr w:type="gramStart"/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proofErr w:type="spellStart"/>
                <w:r w:rsidR="00CA0F59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  <w:proofErr w:type="gram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AE4" w:rsidRDefault="00811AE4" w:rsidP="00D736E8">
      <w:pPr>
        <w:spacing w:before="0"/>
      </w:pPr>
      <w:r>
        <w:separator/>
      </w:r>
    </w:p>
  </w:endnote>
  <w:endnote w:type="continuationSeparator" w:id="0">
    <w:p w:rsidR="00811AE4" w:rsidRDefault="00811AE4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3D1545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DC4497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AE4" w:rsidRDefault="00811AE4" w:rsidP="00D736E8">
      <w:pPr>
        <w:spacing w:before="0"/>
      </w:pPr>
      <w:r>
        <w:separator/>
      </w:r>
    </w:p>
  </w:footnote>
  <w:footnote w:type="continuationSeparator" w:id="0">
    <w:p w:rsidR="00811AE4" w:rsidRDefault="00811AE4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898"/>
    <w:rsid w:val="0001052C"/>
    <w:rsid w:val="00022567"/>
    <w:rsid w:val="0002623C"/>
    <w:rsid w:val="000355EE"/>
    <w:rsid w:val="00044621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1E08"/>
    <w:rsid w:val="000E4A56"/>
    <w:rsid w:val="00107864"/>
    <w:rsid w:val="00126B18"/>
    <w:rsid w:val="0013280E"/>
    <w:rsid w:val="001365E7"/>
    <w:rsid w:val="00154136"/>
    <w:rsid w:val="00175DCA"/>
    <w:rsid w:val="001806B3"/>
    <w:rsid w:val="00197344"/>
    <w:rsid w:val="00197B3F"/>
    <w:rsid w:val="001B02C9"/>
    <w:rsid w:val="001B2758"/>
    <w:rsid w:val="001B5158"/>
    <w:rsid w:val="001C1DF4"/>
    <w:rsid w:val="001D3474"/>
    <w:rsid w:val="001E48EA"/>
    <w:rsid w:val="001F75BA"/>
    <w:rsid w:val="00210006"/>
    <w:rsid w:val="002209E6"/>
    <w:rsid w:val="00223014"/>
    <w:rsid w:val="002240AA"/>
    <w:rsid w:val="00224869"/>
    <w:rsid w:val="002274F9"/>
    <w:rsid w:val="00230982"/>
    <w:rsid w:val="00241E82"/>
    <w:rsid w:val="002433F3"/>
    <w:rsid w:val="0024458C"/>
    <w:rsid w:val="00246179"/>
    <w:rsid w:val="00271888"/>
    <w:rsid w:val="00272406"/>
    <w:rsid w:val="00274CC8"/>
    <w:rsid w:val="00275122"/>
    <w:rsid w:val="00275AEE"/>
    <w:rsid w:val="00286D53"/>
    <w:rsid w:val="002B5C9B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07636"/>
    <w:rsid w:val="003353A3"/>
    <w:rsid w:val="003519C9"/>
    <w:rsid w:val="003628E7"/>
    <w:rsid w:val="00363869"/>
    <w:rsid w:val="0037026A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545"/>
    <w:rsid w:val="003D1ABB"/>
    <w:rsid w:val="003D2A89"/>
    <w:rsid w:val="003F3900"/>
    <w:rsid w:val="003F3B45"/>
    <w:rsid w:val="00407D1E"/>
    <w:rsid w:val="00413C73"/>
    <w:rsid w:val="0042181B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00EA"/>
    <w:rsid w:val="004F4D8E"/>
    <w:rsid w:val="005208C7"/>
    <w:rsid w:val="005235C4"/>
    <w:rsid w:val="005266D4"/>
    <w:rsid w:val="00526A36"/>
    <w:rsid w:val="00552E7F"/>
    <w:rsid w:val="00574D53"/>
    <w:rsid w:val="0057617E"/>
    <w:rsid w:val="005841FF"/>
    <w:rsid w:val="005844AF"/>
    <w:rsid w:val="00584818"/>
    <w:rsid w:val="005874FF"/>
    <w:rsid w:val="00593C07"/>
    <w:rsid w:val="00593C42"/>
    <w:rsid w:val="005B31E0"/>
    <w:rsid w:val="005C2E2C"/>
    <w:rsid w:val="005C786C"/>
    <w:rsid w:val="005D04BE"/>
    <w:rsid w:val="005D6B58"/>
    <w:rsid w:val="005E53E1"/>
    <w:rsid w:val="005E69EE"/>
    <w:rsid w:val="005F17AF"/>
    <w:rsid w:val="005F6A1E"/>
    <w:rsid w:val="00600FEE"/>
    <w:rsid w:val="006115F2"/>
    <w:rsid w:val="006136A2"/>
    <w:rsid w:val="00617C9C"/>
    <w:rsid w:val="006200E3"/>
    <w:rsid w:val="006225C1"/>
    <w:rsid w:val="00622EC5"/>
    <w:rsid w:val="00644267"/>
    <w:rsid w:val="006444E5"/>
    <w:rsid w:val="00647F51"/>
    <w:rsid w:val="00661F18"/>
    <w:rsid w:val="00666F7B"/>
    <w:rsid w:val="00677733"/>
    <w:rsid w:val="00682EE9"/>
    <w:rsid w:val="00693473"/>
    <w:rsid w:val="00697DC4"/>
    <w:rsid w:val="006A0EBD"/>
    <w:rsid w:val="006A20F4"/>
    <w:rsid w:val="006A2FE3"/>
    <w:rsid w:val="006B0548"/>
    <w:rsid w:val="006E6589"/>
    <w:rsid w:val="00702919"/>
    <w:rsid w:val="00724D87"/>
    <w:rsid w:val="00732B0B"/>
    <w:rsid w:val="00763E4D"/>
    <w:rsid w:val="0077495C"/>
    <w:rsid w:val="00786386"/>
    <w:rsid w:val="007A171D"/>
    <w:rsid w:val="007A659A"/>
    <w:rsid w:val="007C57B1"/>
    <w:rsid w:val="007D1C4B"/>
    <w:rsid w:val="007D2753"/>
    <w:rsid w:val="007D4D74"/>
    <w:rsid w:val="007F6A1F"/>
    <w:rsid w:val="00803796"/>
    <w:rsid w:val="00804A62"/>
    <w:rsid w:val="00811AE4"/>
    <w:rsid w:val="008120C0"/>
    <w:rsid w:val="0082189A"/>
    <w:rsid w:val="008226E6"/>
    <w:rsid w:val="00824D8B"/>
    <w:rsid w:val="00827A2D"/>
    <w:rsid w:val="00827EDB"/>
    <w:rsid w:val="008302AE"/>
    <w:rsid w:val="0083219E"/>
    <w:rsid w:val="008523DB"/>
    <w:rsid w:val="00870D6C"/>
    <w:rsid w:val="00872E80"/>
    <w:rsid w:val="00885B3C"/>
    <w:rsid w:val="00892331"/>
    <w:rsid w:val="00894974"/>
    <w:rsid w:val="0089504F"/>
    <w:rsid w:val="00896A70"/>
    <w:rsid w:val="008B0A5D"/>
    <w:rsid w:val="008C63EC"/>
    <w:rsid w:val="008C7AF6"/>
    <w:rsid w:val="008D4DD1"/>
    <w:rsid w:val="008E3129"/>
    <w:rsid w:val="00901F45"/>
    <w:rsid w:val="00906FD0"/>
    <w:rsid w:val="00911778"/>
    <w:rsid w:val="00924070"/>
    <w:rsid w:val="0092756E"/>
    <w:rsid w:val="009407B4"/>
    <w:rsid w:val="00952B92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1599"/>
    <w:rsid w:val="009F3292"/>
    <w:rsid w:val="009F60C0"/>
    <w:rsid w:val="009F7729"/>
    <w:rsid w:val="00A1001D"/>
    <w:rsid w:val="00A121E1"/>
    <w:rsid w:val="00A144FA"/>
    <w:rsid w:val="00A20FF3"/>
    <w:rsid w:val="00A274A3"/>
    <w:rsid w:val="00A42D1A"/>
    <w:rsid w:val="00A45783"/>
    <w:rsid w:val="00A47B1C"/>
    <w:rsid w:val="00A60B26"/>
    <w:rsid w:val="00A83AF6"/>
    <w:rsid w:val="00A850FD"/>
    <w:rsid w:val="00A96A68"/>
    <w:rsid w:val="00A97028"/>
    <w:rsid w:val="00AC73B0"/>
    <w:rsid w:val="00AE5524"/>
    <w:rsid w:val="00AF1246"/>
    <w:rsid w:val="00AF1CE4"/>
    <w:rsid w:val="00AF764D"/>
    <w:rsid w:val="00B20ABF"/>
    <w:rsid w:val="00B23BD8"/>
    <w:rsid w:val="00B30870"/>
    <w:rsid w:val="00B32200"/>
    <w:rsid w:val="00B41B6F"/>
    <w:rsid w:val="00B46A1C"/>
    <w:rsid w:val="00B545B7"/>
    <w:rsid w:val="00B63050"/>
    <w:rsid w:val="00B7015A"/>
    <w:rsid w:val="00B86889"/>
    <w:rsid w:val="00B904B8"/>
    <w:rsid w:val="00B909AC"/>
    <w:rsid w:val="00B93F15"/>
    <w:rsid w:val="00B95FE6"/>
    <w:rsid w:val="00BB06E0"/>
    <w:rsid w:val="00BB30B8"/>
    <w:rsid w:val="00BB3180"/>
    <w:rsid w:val="00BB4FB0"/>
    <w:rsid w:val="00BC0CC0"/>
    <w:rsid w:val="00BC218F"/>
    <w:rsid w:val="00BD3000"/>
    <w:rsid w:val="00BD3404"/>
    <w:rsid w:val="00BF16BC"/>
    <w:rsid w:val="00C00529"/>
    <w:rsid w:val="00C0682F"/>
    <w:rsid w:val="00C36190"/>
    <w:rsid w:val="00C46057"/>
    <w:rsid w:val="00C47E28"/>
    <w:rsid w:val="00C50346"/>
    <w:rsid w:val="00C879A2"/>
    <w:rsid w:val="00C974D0"/>
    <w:rsid w:val="00CA0F59"/>
    <w:rsid w:val="00CA203F"/>
    <w:rsid w:val="00CA2DFA"/>
    <w:rsid w:val="00CC40E7"/>
    <w:rsid w:val="00CD2546"/>
    <w:rsid w:val="00CE7615"/>
    <w:rsid w:val="00D12B4A"/>
    <w:rsid w:val="00D16BE3"/>
    <w:rsid w:val="00D4624E"/>
    <w:rsid w:val="00D736E8"/>
    <w:rsid w:val="00D7787E"/>
    <w:rsid w:val="00D77E96"/>
    <w:rsid w:val="00D85F59"/>
    <w:rsid w:val="00D9021A"/>
    <w:rsid w:val="00D970B6"/>
    <w:rsid w:val="00DA012B"/>
    <w:rsid w:val="00DA050B"/>
    <w:rsid w:val="00DA2F20"/>
    <w:rsid w:val="00DA3BF1"/>
    <w:rsid w:val="00DB1991"/>
    <w:rsid w:val="00DB3FEE"/>
    <w:rsid w:val="00DB56C9"/>
    <w:rsid w:val="00DC106B"/>
    <w:rsid w:val="00DC320F"/>
    <w:rsid w:val="00DC4497"/>
    <w:rsid w:val="00DC72BE"/>
    <w:rsid w:val="00DD526E"/>
    <w:rsid w:val="00DD57CF"/>
    <w:rsid w:val="00DE4331"/>
    <w:rsid w:val="00DE586C"/>
    <w:rsid w:val="00DE6742"/>
    <w:rsid w:val="00E03D68"/>
    <w:rsid w:val="00E16F70"/>
    <w:rsid w:val="00E22616"/>
    <w:rsid w:val="00E30EA7"/>
    <w:rsid w:val="00E447CC"/>
    <w:rsid w:val="00E55ADC"/>
    <w:rsid w:val="00E62427"/>
    <w:rsid w:val="00E662DE"/>
    <w:rsid w:val="00E668A9"/>
    <w:rsid w:val="00E7154B"/>
    <w:rsid w:val="00E877F3"/>
    <w:rsid w:val="00E91914"/>
    <w:rsid w:val="00E9319E"/>
    <w:rsid w:val="00EA370D"/>
    <w:rsid w:val="00EB2CC6"/>
    <w:rsid w:val="00EC1803"/>
    <w:rsid w:val="00ED3E6E"/>
    <w:rsid w:val="00ED7004"/>
    <w:rsid w:val="00EF1650"/>
    <w:rsid w:val="00EF7CB3"/>
    <w:rsid w:val="00F0702B"/>
    <w:rsid w:val="00F148BB"/>
    <w:rsid w:val="00F23BD3"/>
    <w:rsid w:val="00F3465E"/>
    <w:rsid w:val="00F40E7A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183E"/>
    <w:rsid w:val="00F92E80"/>
    <w:rsid w:val="00F96133"/>
    <w:rsid w:val="00FA7ECA"/>
    <w:rsid w:val="00FB6993"/>
    <w:rsid w:val="00FC186C"/>
    <w:rsid w:val="00FC1F88"/>
    <w:rsid w:val="00FD5E6C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DDCBC-82C3-4F2F-8242-26B151E9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0F5A67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1C4DF36CFF724D719FE63637C870A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87603E-DE67-45A4-A34A-BCB81808660D}"/>
      </w:docPartPr>
      <w:docPartBody>
        <w:p w:rsidR="00594A21" w:rsidRDefault="00F500D7" w:rsidP="00F500D7">
          <w:pPr>
            <w:pStyle w:val="1C4DF36CFF724D719FE63637C870A18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FF13ED3BA14D16B0CC43A1822E75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C4EDA-F5B3-4CB5-AAD7-610D4B16691F}"/>
      </w:docPartPr>
      <w:docPartBody>
        <w:p w:rsidR="0049161E" w:rsidRDefault="00C0411C" w:rsidP="00C0411C">
          <w:pPr>
            <w:pStyle w:val="0CFF13ED3BA14D16B0CC43A1822E75B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B7474164F9246A7B7B41AED5B815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30E31-C8D7-4982-BA9B-03BFA59EB89D}"/>
      </w:docPartPr>
      <w:docPartBody>
        <w:p w:rsidR="0049161E" w:rsidRDefault="00C0411C" w:rsidP="00C0411C">
          <w:pPr>
            <w:pStyle w:val="6B7474164F9246A7B7B41AED5B81592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422BD0546C4D12A5FC65CD60F0CA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010BF6-622B-41D1-A246-D192821EF862}"/>
      </w:docPartPr>
      <w:docPartBody>
        <w:p w:rsidR="007E545A" w:rsidRDefault="00EC644F" w:rsidP="00EC644F">
          <w:pPr>
            <w:pStyle w:val="B9422BD0546C4D12A5FC65CD60F0CA4D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75F7C"/>
    <w:rsid w:val="000E0741"/>
    <w:rsid w:val="000F5A67"/>
    <w:rsid w:val="00121268"/>
    <w:rsid w:val="00144E35"/>
    <w:rsid w:val="00155920"/>
    <w:rsid w:val="00166F4B"/>
    <w:rsid w:val="00174710"/>
    <w:rsid w:val="0018424C"/>
    <w:rsid w:val="001B66A6"/>
    <w:rsid w:val="00255E7F"/>
    <w:rsid w:val="0028528E"/>
    <w:rsid w:val="002975BA"/>
    <w:rsid w:val="002C08C7"/>
    <w:rsid w:val="00325A4D"/>
    <w:rsid w:val="00391FDC"/>
    <w:rsid w:val="003A538B"/>
    <w:rsid w:val="00420917"/>
    <w:rsid w:val="0049161E"/>
    <w:rsid w:val="0052493C"/>
    <w:rsid w:val="0057028B"/>
    <w:rsid w:val="00594A21"/>
    <w:rsid w:val="005A4856"/>
    <w:rsid w:val="005D11A7"/>
    <w:rsid w:val="00620C59"/>
    <w:rsid w:val="00627FF0"/>
    <w:rsid w:val="00656822"/>
    <w:rsid w:val="00687F43"/>
    <w:rsid w:val="00781A7C"/>
    <w:rsid w:val="007C65EB"/>
    <w:rsid w:val="007D347B"/>
    <w:rsid w:val="007E545A"/>
    <w:rsid w:val="008550B1"/>
    <w:rsid w:val="00866220"/>
    <w:rsid w:val="00912FD2"/>
    <w:rsid w:val="0095088D"/>
    <w:rsid w:val="00961A36"/>
    <w:rsid w:val="00995A0F"/>
    <w:rsid w:val="009B2543"/>
    <w:rsid w:val="009F44BC"/>
    <w:rsid w:val="00B06720"/>
    <w:rsid w:val="00B34A05"/>
    <w:rsid w:val="00B8736F"/>
    <w:rsid w:val="00C0411C"/>
    <w:rsid w:val="00C06D7D"/>
    <w:rsid w:val="00C8059B"/>
    <w:rsid w:val="00D90076"/>
    <w:rsid w:val="00DA58D4"/>
    <w:rsid w:val="00E968F2"/>
    <w:rsid w:val="00EC644F"/>
    <w:rsid w:val="00EF498C"/>
    <w:rsid w:val="00F500D7"/>
    <w:rsid w:val="00F87351"/>
    <w:rsid w:val="00FE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644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1C4DF36CFF724D719FE63637C870A185">
    <w:name w:val="1C4DF36CFF724D719FE63637C870A185"/>
    <w:rsid w:val="00F500D7"/>
    <w:pPr>
      <w:spacing w:after="160" w:line="259" w:lineRule="auto"/>
    </w:pPr>
  </w:style>
  <w:style w:type="paragraph" w:customStyle="1" w:styleId="AC7A47F724914839A707E613EB65562A">
    <w:name w:val="AC7A47F724914839A707E613EB65562A"/>
    <w:rsid w:val="00C0411C"/>
    <w:pPr>
      <w:spacing w:after="160" w:line="259" w:lineRule="auto"/>
    </w:pPr>
  </w:style>
  <w:style w:type="paragraph" w:customStyle="1" w:styleId="0B0782491BD44378A2D3C3A7F0AEFBED">
    <w:name w:val="0B0782491BD44378A2D3C3A7F0AEFBED"/>
    <w:rsid w:val="00C0411C"/>
    <w:pPr>
      <w:spacing w:after="160" w:line="259" w:lineRule="auto"/>
    </w:pPr>
  </w:style>
  <w:style w:type="paragraph" w:customStyle="1" w:styleId="0CFF13ED3BA14D16B0CC43A1822E75B7">
    <w:name w:val="0CFF13ED3BA14D16B0CC43A1822E75B7"/>
    <w:rsid w:val="00C0411C"/>
    <w:pPr>
      <w:spacing w:after="160" w:line="259" w:lineRule="auto"/>
    </w:pPr>
  </w:style>
  <w:style w:type="paragraph" w:customStyle="1" w:styleId="6B7474164F9246A7B7B41AED5B815924">
    <w:name w:val="6B7474164F9246A7B7B41AED5B815924"/>
    <w:rsid w:val="00C0411C"/>
    <w:pPr>
      <w:spacing w:after="160" w:line="259" w:lineRule="auto"/>
    </w:pPr>
  </w:style>
  <w:style w:type="paragraph" w:customStyle="1" w:styleId="CE1EB667CD0440819F63B2D9A1556BFF">
    <w:name w:val="CE1EB667CD0440819F63B2D9A1556BFF"/>
    <w:rsid w:val="00C0411C"/>
    <w:pPr>
      <w:spacing w:after="160" w:line="259" w:lineRule="auto"/>
    </w:pPr>
  </w:style>
  <w:style w:type="paragraph" w:customStyle="1" w:styleId="77D6875EC4C046EA92290A6C041D842A">
    <w:name w:val="77D6875EC4C046EA92290A6C041D842A"/>
    <w:rsid w:val="00EC644F"/>
    <w:pPr>
      <w:spacing w:after="160" w:line="259" w:lineRule="auto"/>
    </w:pPr>
  </w:style>
  <w:style w:type="paragraph" w:customStyle="1" w:styleId="B9422BD0546C4D12A5FC65CD60F0CA4D">
    <w:name w:val="B9422BD0546C4D12A5FC65CD60F0CA4D"/>
    <w:rsid w:val="00EC64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0BB9E-764F-4759-A0DB-BFB813C3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5236</Words>
  <Characters>29850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8</cp:revision>
  <cp:lastPrinted>2015-12-03T06:22:00Z</cp:lastPrinted>
  <dcterms:created xsi:type="dcterms:W3CDTF">2017-11-13T06:50:00Z</dcterms:created>
  <dcterms:modified xsi:type="dcterms:W3CDTF">2017-11-14T11:12:00Z</dcterms:modified>
</cp:coreProperties>
</file>